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0F33" w14:textId="2FD16375" w:rsidR="00874979" w:rsidRDefault="00874979" w:rsidP="00695A00">
      <w:pPr>
        <w:rPr>
          <w:rFonts w:ascii="Verdana" w:hAnsi="Verdana"/>
          <w:b/>
          <w:bCs/>
        </w:rPr>
      </w:pPr>
      <w:r>
        <w:rPr>
          <w:rFonts w:ascii="Verdana" w:hAnsi="Verdana"/>
          <w:b/>
          <w:bCs/>
        </w:rPr>
        <w:t>RAYMOND &amp; CO SOLICITORS</w:t>
      </w:r>
    </w:p>
    <w:p w14:paraId="3E82F81A" w14:textId="6D3ED7BB" w:rsidR="003F7D8B" w:rsidRDefault="0091558F" w:rsidP="00695A00">
      <w:pPr>
        <w:rPr>
          <w:rFonts w:ascii="Verdana" w:hAnsi="Verdana"/>
        </w:rPr>
      </w:pPr>
      <w:r>
        <w:rPr>
          <w:rFonts w:ascii="Verdana" w:hAnsi="Verdana"/>
          <w:b/>
          <w:bCs/>
        </w:rPr>
        <w:t>DEBT RECOVERY</w:t>
      </w:r>
      <w:r w:rsidR="00D74C15">
        <w:rPr>
          <w:rFonts w:ascii="Verdana" w:hAnsi="Verdana"/>
          <w:b/>
          <w:bCs/>
        </w:rPr>
        <w:t xml:space="preserve"> </w:t>
      </w:r>
      <w:r w:rsidR="003F7D8B">
        <w:rPr>
          <w:rFonts w:ascii="Verdana" w:hAnsi="Verdana"/>
          <w:b/>
          <w:bCs/>
        </w:rPr>
        <w:t>C</w:t>
      </w:r>
      <w:r w:rsidR="003F7D8B" w:rsidRPr="003F7D8B">
        <w:rPr>
          <w:rFonts w:ascii="Verdana" w:hAnsi="Verdana"/>
          <w:b/>
          <w:bCs/>
        </w:rPr>
        <w:t>OSTS</w:t>
      </w:r>
    </w:p>
    <w:p w14:paraId="304AA36D" w14:textId="10018BD6" w:rsidR="00180A7E" w:rsidRDefault="00180A7E" w:rsidP="00180A7E">
      <w:pPr>
        <w:rPr>
          <w:rFonts w:ascii="Verdana" w:hAnsi="Verdana"/>
        </w:rPr>
      </w:pPr>
      <w:r w:rsidRPr="00180A7E">
        <w:rPr>
          <w:rFonts w:ascii="Verdana" w:hAnsi="Verdana"/>
        </w:rPr>
        <w:t>These costs apply where your claim is in relation to an unpaid invoice</w:t>
      </w:r>
      <w:r w:rsidR="00995AD3">
        <w:rPr>
          <w:rFonts w:ascii="Verdana" w:hAnsi="Verdana"/>
        </w:rPr>
        <w:t xml:space="preserve"> or other debt</w:t>
      </w:r>
      <w:r w:rsidRPr="00180A7E">
        <w:rPr>
          <w:rFonts w:ascii="Verdana" w:hAnsi="Verdana"/>
        </w:rPr>
        <w:t xml:space="preserve"> which is not disputed and enforcement action is not needed. If the other party disputes your claim at any point, we will discuss any further work required and provide you with revised advice about costs if necessary, which could be on a fixed fee (e.g. if a one off letter is required), or an hourly rate if more extensive work is needed.</w:t>
      </w:r>
    </w:p>
    <w:p w14:paraId="32877070" w14:textId="77777777" w:rsidR="002859B7" w:rsidRPr="00695A00" w:rsidRDefault="002859B7" w:rsidP="002859B7">
      <w:pPr>
        <w:rPr>
          <w:rFonts w:ascii="Verdana" w:hAnsi="Verdana"/>
        </w:rPr>
      </w:pPr>
      <w:r w:rsidRPr="006D4924">
        <w:rPr>
          <w:rFonts w:ascii="Verdana" w:hAnsi="Verdana"/>
          <w:i/>
          <w:iCs/>
          <w:u w:val="single"/>
        </w:rPr>
        <w:t>VAT @ 20% is payable in addition to the fees listed below</w:t>
      </w:r>
    </w:p>
    <w:tbl>
      <w:tblPr>
        <w:tblStyle w:val="TableGrid"/>
        <w:tblW w:w="9016" w:type="dxa"/>
        <w:jc w:val="center"/>
        <w:tblLook w:val="04A0" w:firstRow="1" w:lastRow="0" w:firstColumn="1" w:lastColumn="0" w:noHBand="0" w:noVBand="1"/>
      </w:tblPr>
      <w:tblGrid>
        <w:gridCol w:w="2346"/>
        <w:gridCol w:w="2319"/>
        <w:gridCol w:w="2281"/>
        <w:gridCol w:w="2070"/>
      </w:tblGrid>
      <w:tr w:rsidR="00995AD3" w:rsidRPr="00180A7E" w14:paraId="7F2F86C3" w14:textId="6BC403DD" w:rsidTr="00995AD3">
        <w:trPr>
          <w:trHeight w:val="449"/>
          <w:jc w:val="center"/>
        </w:trPr>
        <w:tc>
          <w:tcPr>
            <w:tcW w:w="2346" w:type="dxa"/>
            <w:hideMark/>
          </w:tcPr>
          <w:p w14:paraId="3A6C696F" w14:textId="77777777" w:rsidR="00995AD3" w:rsidRPr="00180A7E" w:rsidRDefault="00995AD3" w:rsidP="00180A7E">
            <w:pPr>
              <w:spacing w:after="160" w:line="259" w:lineRule="auto"/>
              <w:rPr>
                <w:rFonts w:ascii="Verdana" w:hAnsi="Verdana"/>
                <w:b/>
                <w:bCs/>
              </w:rPr>
            </w:pPr>
            <w:bookmarkStart w:id="0" w:name="_Hlk192454098"/>
            <w:r w:rsidRPr="00180A7E">
              <w:rPr>
                <w:rFonts w:ascii="Verdana" w:hAnsi="Verdana"/>
                <w:b/>
                <w:bCs/>
              </w:rPr>
              <w:t>Debt value</w:t>
            </w:r>
          </w:p>
        </w:tc>
        <w:tc>
          <w:tcPr>
            <w:tcW w:w="2319" w:type="dxa"/>
            <w:hideMark/>
          </w:tcPr>
          <w:p w14:paraId="6C15A32F" w14:textId="77777777" w:rsidR="00995AD3" w:rsidRPr="00180A7E" w:rsidRDefault="00995AD3" w:rsidP="00180A7E">
            <w:pPr>
              <w:spacing w:after="160" w:line="259" w:lineRule="auto"/>
              <w:rPr>
                <w:rFonts w:ascii="Verdana" w:hAnsi="Verdana"/>
                <w:b/>
                <w:bCs/>
              </w:rPr>
            </w:pPr>
            <w:r w:rsidRPr="00180A7E">
              <w:rPr>
                <w:rFonts w:ascii="Verdana" w:hAnsi="Verdana"/>
                <w:b/>
                <w:bCs/>
              </w:rPr>
              <w:t>Court fee</w:t>
            </w:r>
          </w:p>
        </w:tc>
        <w:tc>
          <w:tcPr>
            <w:tcW w:w="2281" w:type="dxa"/>
            <w:hideMark/>
          </w:tcPr>
          <w:p w14:paraId="15223671" w14:textId="6374B7EE" w:rsidR="00995AD3" w:rsidRPr="00180A7E" w:rsidRDefault="00995AD3" w:rsidP="00180A7E">
            <w:pPr>
              <w:spacing w:after="160" w:line="259" w:lineRule="auto"/>
              <w:rPr>
                <w:rFonts w:ascii="Verdana" w:hAnsi="Verdana"/>
                <w:b/>
                <w:bCs/>
              </w:rPr>
            </w:pPr>
            <w:r w:rsidRPr="00180A7E">
              <w:rPr>
                <w:rFonts w:ascii="Verdana" w:hAnsi="Verdana"/>
                <w:b/>
                <w:bCs/>
              </w:rPr>
              <w:t>Our fee (</w:t>
            </w:r>
            <w:r>
              <w:rPr>
                <w:rFonts w:ascii="Verdana" w:hAnsi="Verdana"/>
                <w:b/>
                <w:bCs/>
              </w:rPr>
              <w:t>ex</w:t>
            </w:r>
            <w:r w:rsidRPr="00180A7E">
              <w:rPr>
                <w:rFonts w:ascii="Verdana" w:hAnsi="Verdana"/>
                <w:b/>
                <w:bCs/>
              </w:rPr>
              <w:t>cl. VAT)</w:t>
            </w:r>
          </w:p>
        </w:tc>
        <w:tc>
          <w:tcPr>
            <w:tcW w:w="2070" w:type="dxa"/>
          </w:tcPr>
          <w:p w14:paraId="59D5174A" w14:textId="6B01CF6C" w:rsidR="00995AD3" w:rsidRPr="00180A7E" w:rsidRDefault="00995AD3" w:rsidP="00180A7E">
            <w:pPr>
              <w:rPr>
                <w:rFonts w:ascii="Verdana" w:hAnsi="Verdana"/>
                <w:b/>
                <w:bCs/>
              </w:rPr>
            </w:pPr>
            <w:r>
              <w:rPr>
                <w:rFonts w:ascii="Verdana" w:hAnsi="Verdana"/>
                <w:b/>
                <w:bCs/>
              </w:rPr>
              <w:t>Our fee (incl. VAT)</w:t>
            </w:r>
          </w:p>
        </w:tc>
      </w:tr>
      <w:tr w:rsidR="00995AD3" w:rsidRPr="00180A7E" w14:paraId="74223586" w14:textId="6A05AD53" w:rsidTr="00995AD3">
        <w:trPr>
          <w:trHeight w:val="449"/>
          <w:jc w:val="center"/>
        </w:trPr>
        <w:tc>
          <w:tcPr>
            <w:tcW w:w="2346" w:type="dxa"/>
            <w:hideMark/>
          </w:tcPr>
          <w:p w14:paraId="0C8C16C7" w14:textId="18ED7F7F" w:rsidR="00995AD3" w:rsidRPr="00180A7E" w:rsidRDefault="00995AD3" w:rsidP="00180A7E">
            <w:pPr>
              <w:spacing w:after="160" w:line="259" w:lineRule="auto"/>
              <w:rPr>
                <w:rFonts w:ascii="Verdana" w:hAnsi="Verdana"/>
              </w:rPr>
            </w:pPr>
            <w:r w:rsidRPr="00180A7E">
              <w:rPr>
                <w:rFonts w:ascii="Verdana" w:hAnsi="Verdana"/>
              </w:rPr>
              <w:t>£1 - £10,000</w:t>
            </w:r>
          </w:p>
        </w:tc>
        <w:tc>
          <w:tcPr>
            <w:tcW w:w="2319" w:type="dxa"/>
            <w:hideMark/>
          </w:tcPr>
          <w:p w14:paraId="75529B25" w14:textId="54EC28D9" w:rsidR="00995AD3" w:rsidRPr="00180A7E" w:rsidRDefault="00995AD3" w:rsidP="00180A7E">
            <w:pPr>
              <w:spacing w:after="160" w:line="259" w:lineRule="auto"/>
              <w:rPr>
                <w:rFonts w:ascii="Verdana" w:hAnsi="Verdana"/>
              </w:rPr>
            </w:pPr>
            <w:r>
              <w:rPr>
                <w:rFonts w:ascii="Verdana" w:hAnsi="Verdana"/>
              </w:rPr>
              <w:t xml:space="preserve">Up to </w:t>
            </w:r>
            <w:r w:rsidRPr="00180A7E">
              <w:rPr>
                <w:rFonts w:ascii="Verdana" w:hAnsi="Verdana"/>
              </w:rPr>
              <w:t>£</w:t>
            </w:r>
            <w:r>
              <w:rPr>
                <w:rFonts w:ascii="Verdana" w:hAnsi="Verdana"/>
              </w:rPr>
              <w:t>455</w:t>
            </w:r>
          </w:p>
        </w:tc>
        <w:tc>
          <w:tcPr>
            <w:tcW w:w="2281" w:type="dxa"/>
            <w:hideMark/>
          </w:tcPr>
          <w:p w14:paraId="7D16C5E3" w14:textId="43BF09B8" w:rsidR="00995AD3" w:rsidRPr="00180A7E" w:rsidRDefault="00995AD3" w:rsidP="00180A7E">
            <w:pPr>
              <w:spacing w:after="160" w:line="259" w:lineRule="auto"/>
              <w:rPr>
                <w:rFonts w:ascii="Verdana" w:hAnsi="Verdana"/>
              </w:rPr>
            </w:pPr>
            <w:r w:rsidRPr="00180A7E">
              <w:rPr>
                <w:rFonts w:ascii="Verdana" w:hAnsi="Verdana"/>
              </w:rPr>
              <w:t>£</w:t>
            </w:r>
            <w:r>
              <w:rPr>
                <w:rFonts w:ascii="Verdana" w:hAnsi="Verdana"/>
              </w:rPr>
              <w:t>750</w:t>
            </w:r>
          </w:p>
        </w:tc>
        <w:tc>
          <w:tcPr>
            <w:tcW w:w="2070" w:type="dxa"/>
          </w:tcPr>
          <w:p w14:paraId="76D73B0A" w14:textId="4A71BCB1" w:rsidR="00995AD3" w:rsidRPr="00180A7E" w:rsidRDefault="001C5225" w:rsidP="00180A7E">
            <w:pPr>
              <w:rPr>
                <w:rFonts w:ascii="Verdana" w:hAnsi="Verdana"/>
              </w:rPr>
            </w:pPr>
            <w:r>
              <w:rPr>
                <w:rFonts w:ascii="Verdana" w:hAnsi="Verdana"/>
              </w:rPr>
              <w:t>£900</w:t>
            </w:r>
          </w:p>
        </w:tc>
      </w:tr>
      <w:tr w:rsidR="00995AD3" w:rsidRPr="00180A7E" w14:paraId="7A4FD706" w14:textId="1DC4CB86" w:rsidTr="00995AD3">
        <w:trPr>
          <w:trHeight w:val="449"/>
          <w:jc w:val="center"/>
        </w:trPr>
        <w:tc>
          <w:tcPr>
            <w:tcW w:w="2346" w:type="dxa"/>
            <w:hideMark/>
          </w:tcPr>
          <w:p w14:paraId="5F6C5462" w14:textId="11F44102" w:rsidR="00995AD3" w:rsidRPr="00180A7E" w:rsidRDefault="00995AD3" w:rsidP="00180A7E">
            <w:pPr>
              <w:spacing w:after="160" w:line="259" w:lineRule="auto"/>
              <w:rPr>
                <w:rFonts w:ascii="Verdana" w:hAnsi="Verdana"/>
              </w:rPr>
            </w:pPr>
            <w:bookmarkStart w:id="1" w:name="_Hlk80962214"/>
            <w:r w:rsidRPr="00180A7E">
              <w:rPr>
                <w:rFonts w:ascii="Verdana" w:hAnsi="Verdana"/>
              </w:rPr>
              <w:t>£10,001 - £</w:t>
            </w:r>
            <w:r>
              <w:rPr>
                <w:rFonts w:ascii="Verdana" w:hAnsi="Verdana"/>
              </w:rPr>
              <w:t>200,000</w:t>
            </w:r>
          </w:p>
        </w:tc>
        <w:tc>
          <w:tcPr>
            <w:tcW w:w="2319" w:type="dxa"/>
            <w:hideMark/>
          </w:tcPr>
          <w:p w14:paraId="59EE136F" w14:textId="68D7531D" w:rsidR="00995AD3" w:rsidRPr="00180A7E" w:rsidRDefault="00995AD3" w:rsidP="00180A7E">
            <w:pPr>
              <w:spacing w:after="160" w:line="259" w:lineRule="auto"/>
              <w:rPr>
                <w:rFonts w:ascii="Verdana" w:hAnsi="Verdana"/>
              </w:rPr>
            </w:pPr>
            <w:r w:rsidRPr="00DC288C">
              <w:rPr>
                <w:rFonts w:ascii="Verdana" w:hAnsi="Verdana"/>
              </w:rPr>
              <w:t>5% of the value of the claim</w:t>
            </w:r>
          </w:p>
        </w:tc>
        <w:tc>
          <w:tcPr>
            <w:tcW w:w="2281" w:type="dxa"/>
            <w:hideMark/>
          </w:tcPr>
          <w:p w14:paraId="1D6C6F61" w14:textId="6CBD5E82" w:rsidR="00995AD3" w:rsidRPr="00180A7E" w:rsidRDefault="00995AD3" w:rsidP="00180A7E">
            <w:pPr>
              <w:spacing w:after="160" w:line="259" w:lineRule="auto"/>
              <w:rPr>
                <w:rFonts w:ascii="Verdana" w:hAnsi="Verdana"/>
              </w:rPr>
            </w:pPr>
            <w:r w:rsidRPr="00180A7E">
              <w:rPr>
                <w:rFonts w:ascii="Verdana" w:hAnsi="Verdana"/>
              </w:rPr>
              <w:t>£</w:t>
            </w:r>
            <w:r>
              <w:rPr>
                <w:rFonts w:ascii="Verdana" w:hAnsi="Verdana"/>
              </w:rPr>
              <w:t>1,100</w:t>
            </w:r>
          </w:p>
        </w:tc>
        <w:tc>
          <w:tcPr>
            <w:tcW w:w="2070" w:type="dxa"/>
          </w:tcPr>
          <w:p w14:paraId="21C08968" w14:textId="27E31A23" w:rsidR="00995AD3" w:rsidRPr="00180A7E" w:rsidRDefault="001C5225" w:rsidP="00180A7E">
            <w:pPr>
              <w:rPr>
                <w:rFonts w:ascii="Verdana" w:hAnsi="Verdana"/>
              </w:rPr>
            </w:pPr>
            <w:r>
              <w:rPr>
                <w:rFonts w:ascii="Verdana" w:hAnsi="Verdana"/>
              </w:rPr>
              <w:t>£1,320</w:t>
            </w:r>
          </w:p>
        </w:tc>
      </w:tr>
      <w:bookmarkEnd w:id="1"/>
      <w:tr w:rsidR="00995AD3" w:rsidRPr="00180A7E" w14:paraId="51A364D8" w14:textId="1170858B" w:rsidTr="00995AD3">
        <w:trPr>
          <w:trHeight w:val="449"/>
          <w:jc w:val="center"/>
        </w:trPr>
        <w:tc>
          <w:tcPr>
            <w:tcW w:w="2346" w:type="dxa"/>
            <w:hideMark/>
          </w:tcPr>
          <w:p w14:paraId="24DB49BB" w14:textId="3E7CC626" w:rsidR="00995AD3" w:rsidRPr="00180A7E" w:rsidRDefault="00995AD3" w:rsidP="00054B04">
            <w:pPr>
              <w:spacing w:after="160" w:line="259" w:lineRule="auto"/>
              <w:rPr>
                <w:rFonts w:ascii="Verdana" w:hAnsi="Verdana"/>
              </w:rPr>
            </w:pPr>
            <w:r>
              <w:rPr>
                <w:rFonts w:ascii="Verdana" w:hAnsi="Verdana"/>
              </w:rPr>
              <w:t xml:space="preserve">More than </w:t>
            </w:r>
            <w:r w:rsidRPr="00180A7E">
              <w:rPr>
                <w:rFonts w:ascii="Verdana" w:hAnsi="Verdana"/>
              </w:rPr>
              <w:t>£</w:t>
            </w:r>
            <w:r>
              <w:rPr>
                <w:rFonts w:ascii="Verdana" w:hAnsi="Verdana"/>
              </w:rPr>
              <w:t>20</w:t>
            </w:r>
            <w:r w:rsidRPr="00180A7E">
              <w:rPr>
                <w:rFonts w:ascii="Verdana" w:hAnsi="Verdana"/>
              </w:rPr>
              <w:t>0,000</w:t>
            </w:r>
          </w:p>
        </w:tc>
        <w:tc>
          <w:tcPr>
            <w:tcW w:w="2319" w:type="dxa"/>
            <w:hideMark/>
          </w:tcPr>
          <w:p w14:paraId="0BA85976" w14:textId="14B87255" w:rsidR="00995AD3" w:rsidRPr="00180A7E" w:rsidRDefault="00995AD3" w:rsidP="00054B04">
            <w:pPr>
              <w:spacing w:after="160" w:line="259" w:lineRule="auto"/>
              <w:rPr>
                <w:rFonts w:ascii="Verdana" w:hAnsi="Verdana"/>
              </w:rPr>
            </w:pPr>
            <w:r>
              <w:rPr>
                <w:rFonts w:ascii="Verdana" w:hAnsi="Verdana"/>
              </w:rPr>
              <w:t>£10,000</w:t>
            </w:r>
          </w:p>
        </w:tc>
        <w:tc>
          <w:tcPr>
            <w:tcW w:w="2281" w:type="dxa"/>
            <w:hideMark/>
          </w:tcPr>
          <w:p w14:paraId="547CC521" w14:textId="1704C45F" w:rsidR="00995AD3" w:rsidRPr="00180A7E" w:rsidRDefault="00995AD3" w:rsidP="00054B04">
            <w:pPr>
              <w:spacing w:after="160" w:line="259" w:lineRule="auto"/>
              <w:rPr>
                <w:rFonts w:ascii="Verdana" w:hAnsi="Verdana"/>
              </w:rPr>
            </w:pPr>
            <w:r>
              <w:rPr>
                <w:rFonts w:ascii="Verdana" w:hAnsi="Verdana"/>
              </w:rPr>
              <w:t>£1,350</w:t>
            </w:r>
          </w:p>
        </w:tc>
        <w:tc>
          <w:tcPr>
            <w:tcW w:w="2070" w:type="dxa"/>
          </w:tcPr>
          <w:p w14:paraId="24BFDB4C" w14:textId="3E5D703F" w:rsidR="00995AD3" w:rsidRDefault="001C5225" w:rsidP="00054B04">
            <w:pPr>
              <w:rPr>
                <w:rFonts w:ascii="Verdana" w:hAnsi="Verdana"/>
              </w:rPr>
            </w:pPr>
            <w:r>
              <w:rPr>
                <w:rFonts w:ascii="Verdana" w:hAnsi="Verdana"/>
              </w:rPr>
              <w:t>£1,620</w:t>
            </w:r>
          </w:p>
        </w:tc>
      </w:tr>
    </w:tbl>
    <w:bookmarkEnd w:id="0"/>
    <w:p w14:paraId="63F90C78" w14:textId="77777777" w:rsidR="00180A7E" w:rsidRPr="00180A7E" w:rsidRDefault="00180A7E" w:rsidP="00180A7E">
      <w:pPr>
        <w:rPr>
          <w:rFonts w:ascii="Verdana" w:hAnsi="Verdana"/>
        </w:rPr>
      </w:pPr>
      <w:r w:rsidRPr="00180A7E">
        <w:rPr>
          <w:rFonts w:ascii="Verdana" w:hAnsi="Verdana"/>
        </w:rPr>
        <w:t>Anyone wishing to proceed with a claim should note that:</w:t>
      </w:r>
    </w:p>
    <w:p w14:paraId="64604B35" w14:textId="77777777" w:rsidR="00180A7E" w:rsidRPr="00180A7E" w:rsidRDefault="00180A7E" w:rsidP="00180A7E">
      <w:pPr>
        <w:numPr>
          <w:ilvl w:val="0"/>
          <w:numId w:val="24"/>
        </w:numPr>
        <w:rPr>
          <w:rFonts w:ascii="Verdana" w:hAnsi="Verdana"/>
        </w:rPr>
      </w:pPr>
      <w:r w:rsidRPr="00180A7E">
        <w:rPr>
          <w:rFonts w:ascii="Verdana" w:hAnsi="Verdana"/>
        </w:rPr>
        <w:t>The VAT element of our fee cannot be reclaimed from your debtor.</w:t>
      </w:r>
    </w:p>
    <w:p w14:paraId="5D321482" w14:textId="77777777" w:rsidR="00180A7E" w:rsidRPr="00180A7E" w:rsidRDefault="00180A7E" w:rsidP="00180A7E">
      <w:pPr>
        <w:numPr>
          <w:ilvl w:val="0"/>
          <w:numId w:val="24"/>
        </w:numPr>
        <w:rPr>
          <w:rFonts w:ascii="Verdana" w:hAnsi="Verdana"/>
        </w:rPr>
      </w:pPr>
      <w:r w:rsidRPr="00180A7E">
        <w:rPr>
          <w:rFonts w:ascii="Verdana" w:hAnsi="Verdana"/>
        </w:rPr>
        <w:t>Interest and compensation may take the debt into a higher banding, with a higher cost.</w:t>
      </w:r>
    </w:p>
    <w:p w14:paraId="65499A6A" w14:textId="77777777" w:rsidR="00180A7E" w:rsidRPr="00180A7E" w:rsidRDefault="00180A7E" w:rsidP="00180A7E">
      <w:pPr>
        <w:numPr>
          <w:ilvl w:val="0"/>
          <w:numId w:val="24"/>
        </w:numPr>
        <w:rPr>
          <w:rFonts w:ascii="Verdana" w:hAnsi="Verdana"/>
        </w:rPr>
      </w:pPr>
      <w:r w:rsidRPr="00180A7E">
        <w:rPr>
          <w:rFonts w:ascii="Verdana" w:hAnsi="Verdana"/>
        </w:rPr>
        <w:t>The costs quoted above are not for matters where enforcement action, such as the bailiff, is needed to collect your debt.</w:t>
      </w:r>
    </w:p>
    <w:p w14:paraId="53B5B085" w14:textId="77777777" w:rsidR="00180A7E" w:rsidRPr="00180A7E" w:rsidRDefault="00180A7E" w:rsidP="00180A7E">
      <w:pPr>
        <w:rPr>
          <w:rFonts w:ascii="Verdana" w:hAnsi="Verdana"/>
        </w:rPr>
      </w:pPr>
      <w:r w:rsidRPr="00180A7E">
        <w:rPr>
          <w:rFonts w:ascii="Verdana" w:hAnsi="Verdana"/>
        </w:rPr>
        <w:t>Our fee includes:</w:t>
      </w:r>
    </w:p>
    <w:p w14:paraId="7C41BA40" w14:textId="77777777" w:rsidR="00180A7E" w:rsidRPr="00180A7E" w:rsidRDefault="00180A7E" w:rsidP="00180A7E">
      <w:pPr>
        <w:numPr>
          <w:ilvl w:val="0"/>
          <w:numId w:val="25"/>
        </w:numPr>
        <w:rPr>
          <w:rFonts w:ascii="Verdana" w:hAnsi="Verdana"/>
        </w:rPr>
      </w:pPr>
      <w:r w:rsidRPr="00180A7E">
        <w:rPr>
          <w:rFonts w:ascii="Verdana" w:hAnsi="Verdana"/>
        </w:rPr>
        <w:t>Taking your instructions and reviewing documentation</w:t>
      </w:r>
    </w:p>
    <w:p w14:paraId="00932496" w14:textId="77777777" w:rsidR="00180A7E" w:rsidRPr="00180A7E" w:rsidRDefault="00180A7E" w:rsidP="00180A7E">
      <w:pPr>
        <w:numPr>
          <w:ilvl w:val="0"/>
          <w:numId w:val="25"/>
        </w:numPr>
        <w:rPr>
          <w:rFonts w:ascii="Verdana" w:hAnsi="Verdana"/>
        </w:rPr>
      </w:pPr>
      <w:r w:rsidRPr="00180A7E">
        <w:rPr>
          <w:rFonts w:ascii="Verdana" w:hAnsi="Verdana"/>
        </w:rPr>
        <w:t>Undertaking appropriate searches</w:t>
      </w:r>
    </w:p>
    <w:p w14:paraId="27EF415F" w14:textId="77777777" w:rsidR="00180A7E" w:rsidRPr="00180A7E" w:rsidRDefault="00180A7E" w:rsidP="00180A7E">
      <w:pPr>
        <w:numPr>
          <w:ilvl w:val="0"/>
          <w:numId w:val="25"/>
        </w:numPr>
        <w:rPr>
          <w:rFonts w:ascii="Verdana" w:hAnsi="Verdana"/>
        </w:rPr>
      </w:pPr>
      <w:r w:rsidRPr="00180A7E">
        <w:rPr>
          <w:rFonts w:ascii="Verdana" w:hAnsi="Verdana"/>
        </w:rPr>
        <w:t>Sending a letter before action</w:t>
      </w:r>
    </w:p>
    <w:p w14:paraId="20AB99CE" w14:textId="77777777" w:rsidR="00180A7E" w:rsidRPr="00180A7E" w:rsidRDefault="00180A7E" w:rsidP="00180A7E">
      <w:pPr>
        <w:numPr>
          <w:ilvl w:val="0"/>
          <w:numId w:val="25"/>
        </w:numPr>
        <w:rPr>
          <w:rFonts w:ascii="Verdana" w:hAnsi="Verdana"/>
        </w:rPr>
      </w:pPr>
      <w:r w:rsidRPr="00180A7E">
        <w:rPr>
          <w:rFonts w:ascii="Verdana" w:hAnsi="Verdana"/>
        </w:rPr>
        <w:t>Receiving payment and sending onto you, or if the debt is not paid, drafting and issuing claim</w:t>
      </w:r>
    </w:p>
    <w:p w14:paraId="72382CF7" w14:textId="21A7E7D9" w:rsidR="00180A7E" w:rsidRPr="00180A7E" w:rsidRDefault="00180A7E" w:rsidP="00180A7E">
      <w:pPr>
        <w:numPr>
          <w:ilvl w:val="0"/>
          <w:numId w:val="25"/>
        </w:numPr>
        <w:rPr>
          <w:rFonts w:ascii="Verdana" w:hAnsi="Verdana"/>
        </w:rPr>
      </w:pPr>
      <w:r w:rsidRPr="00180A7E">
        <w:rPr>
          <w:rFonts w:ascii="Verdana" w:hAnsi="Verdana"/>
        </w:rPr>
        <w:t>Where no Acknowledgment of Service or Defence is received, applying to the court to enter Judgment in default</w:t>
      </w:r>
    </w:p>
    <w:p w14:paraId="7021FFF8" w14:textId="77777777" w:rsidR="00180A7E" w:rsidRPr="00180A7E" w:rsidRDefault="00180A7E" w:rsidP="00180A7E">
      <w:pPr>
        <w:numPr>
          <w:ilvl w:val="0"/>
          <w:numId w:val="25"/>
        </w:numPr>
        <w:rPr>
          <w:rFonts w:ascii="Verdana" w:hAnsi="Verdana"/>
        </w:rPr>
      </w:pPr>
      <w:r w:rsidRPr="00180A7E">
        <w:rPr>
          <w:rFonts w:ascii="Verdana" w:hAnsi="Verdana"/>
        </w:rPr>
        <w:t>When Judgement in default in received, write to the other side to request payment</w:t>
      </w:r>
    </w:p>
    <w:p w14:paraId="6365B578" w14:textId="209D2481" w:rsidR="00180A7E" w:rsidRPr="00180A7E" w:rsidRDefault="00180A7E" w:rsidP="00180A7E">
      <w:pPr>
        <w:numPr>
          <w:ilvl w:val="0"/>
          <w:numId w:val="25"/>
        </w:numPr>
        <w:rPr>
          <w:rFonts w:ascii="Verdana" w:hAnsi="Verdana"/>
        </w:rPr>
      </w:pPr>
      <w:r w:rsidRPr="00180A7E">
        <w:rPr>
          <w:rFonts w:ascii="Verdana" w:hAnsi="Verdana"/>
        </w:rPr>
        <w:t xml:space="preserve">If payment is not received within </w:t>
      </w:r>
      <w:r w:rsidR="00F47147">
        <w:rPr>
          <w:rFonts w:ascii="Verdana" w:hAnsi="Verdana"/>
        </w:rPr>
        <w:t>30</w:t>
      </w:r>
      <w:r w:rsidRPr="00180A7E">
        <w:rPr>
          <w:rFonts w:ascii="Verdana" w:hAnsi="Verdana"/>
        </w:rPr>
        <w:t xml:space="preserve"> days, providing you with advice on next steps and likely costs</w:t>
      </w:r>
    </w:p>
    <w:p w14:paraId="102C62A3" w14:textId="417623D5" w:rsidR="000A2D00" w:rsidRPr="000A2D00" w:rsidRDefault="00180A7E" w:rsidP="00180A7E">
      <w:pPr>
        <w:rPr>
          <w:rFonts w:ascii="Verdana" w:hAnsi="Verdana"/>
        </w:rPr>
      </w:pPr>
      <w:r w:rsidRPr="00180A7E">
        <w:rPr>
          <w:rFonts w:ascii="Verdana" w:hAnsi="Verdana"/>
        </w:rPr>
        <w:t xml:space="preserve">Matters usually take </w:t>
      </w:r>
      <w:r w:rsidR="00DC288C">
        <w:rPr>
          <w:rFonts w:ascii="Verdana" w:hAnsi="Verdana"/>
        </w:rPr>
        <w:t>4-26</w:t>
      </w:r>
      <w:r w:rsidRPr="00180A7E">
        <w:rPr>
          <w:rFonts w:ascii="Verdana" w:hAnsi="Verdana"/>
        </w:rPr>
        <w:t xml:space="preserve"> weeks from receipt of instructions from you to receipt of payment from the other side, depending on whether or not it is necessary to issue a claim. This is on the basis that the other side pays promptly on receipt of </w:t>
      </w:r>
      <w:r w:rsidRPr="00180A7E">
        <w:rPr>
          <w:rFonts w:ascii="Verdana" w:hAnsi="Verdana"/>
        </w:rPr>
        <w:lastRenderedPageBreak/>
        <w:t>Judgment in default. If enforcement action is needed, the matter will take longer to resolve.</w:t>
      </w:r>
    </w:p>
    <w:sectPr w:rsidR="000A2D00" w:rsidRPr="000A2D00" w:rsidSect="0087497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E3AE" w14:textId="77777777" w:rsidR="00AF3495" w:rsidRDefault="00AF3495" w:rsidP="00874979">
      <w:pPr>
        <w:spacing w:after="0" w:line="240" w:lineRule="auto"/>
      </w:pPr>
      <w:r>
        <w:separator/>
      </w:r>
    </w:p>
  </w:endnote>
  <w:endnote w:type="continuationSeparator" w:id="0">
    <w:p w14:paraId="73F9CA92" w14:textId="77777777" w:rsidR="00AF3495" w:rsidRDefault="00AF3495" w:rsidP="0087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D799" w14:textId="694D929B" w:rsidR="00874979" w:rsidRPr="00874979" w:rsidRDefault="00874979">
    <w:pPr>
      <w:pStyle w:val="Footer"/>
      <w:rPr>
        <w:rFonts w:ascii="Verdana" w:hAnsi="Verdana"/>
        <w:sz w:val="16"/>
        <w:szCs w:val="16"/>
      </w:rPr>
    </w:pPr>
    <w:r>
      <w:rPr>
        <w:rFonts w:ascii="Verdana" w:hAnsi="Verdana"/>
        <w:sz w:val="16"/>
        <w:szCs w:val="16"/>
      </w:rPr>
      <w:t>© RAYMOND &amp; CO SOLICITORS 202</w:t>
    </w:r>
    <w:r w:rsidR="00F84736">
      <w:rPr>
        <w:rFonts w:ascii="Verdana" w:hAnsi="Verdana"/>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1E59" w14:textId="77777777" w:rsidR="00AF3495" w:rsidRDefault="00AF3495" w:rsidP="00874979">
      <w:pPr>
        <w:spacing w:after="0" w:line="240" w:lineRule="auto"/>
      </w:pPr>
      <w:r>
        <w:separator/>
      </w:r>
    </w:p>
  </w:footnote>
  <w:footnote w:type="continuationSeparator" w:id="0">
    <w:p w14:paraId="0E062EC2" w14:textId="77777777" w:rsidR="00AF3495" w:rsidRDefault="00AF3495" w:rsidP="00874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E6E"/>
    <w:multiLevelType w:val="hybridMultilevel"/>
    <w:tmpl w:val="ACF6CA1E"/>
    <w:lvl w:ilvl="0" w:tplc="E4A2D1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921BF"/>
    <w:multiLevelType w:val="multilevel"/>
    <w:tmpl w:val="C692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213C4"/>
    <w:multiLevelType w:val="multilevel"/>
    <w:tmpl w:val="0AD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1528C"/>
    <w:multiLevelType w:val="multilevel"/>
    <w:tmpl w:val="139E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A0870"/>
    <w:multiLevelType w:val="multilevel"/>
    <w:tmpl w:val="DE02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85679"/>
    <w:multiLevelType w:val="multilevel"/>
    <w:tmpl w:val="39BC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B0C7F"/>
    <w:multiLevelType w:val="multilevel"/>
    <w:tmpl w:val="208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05BAB"/>
    <w:multiLevelType w:val="multilevel"/>
    <w:tmpl w:val="DB9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12112"/>
    <w:multiLevelType w:val="multilevel"/>
    <w:tmpl w:val="E91689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CDE4D5F"/>
    <w:multiLevelType w:val="multilevel"/>
    <w:tmpl w:val="D124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A74F85"/>
    <w:multiLevelType w:val="multilevel"/>
    <w:tmpl w:val="CD60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453D1"/>
    <w:multiLevelType w:val="multilevel"/>
    <w:tmpl w:val="5A90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E043E"/>
    <w:multiLevelType w:val="multilevel"/>
    <w:tmpl w:val="E57A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A072AF"/>
    <w:multiLevelType w:val="multilevel"/>
    <w:tmpl w:val="05D4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F4649"/>
    <w:multiLevelType w:val="multilevel"/>
    <w:tmpl w:val="38EA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638D5"/>
    <w:multiLevelType w:val="multilevel"/>
    <w:tmpl w:val="686A3D8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52B5D"/>
    <w:multiLevelType w:val="multilevel"/>
    <w:tmpl w:val="9AA4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0C00A2"/>
    <w:multiLevelType w:val="multilevel"/>
    <w:tmpl w:val="C646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5B0381"/>
    <w:multiLevelType w:val="multilevel"/>
    <w:tmpl w:val="331E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B51B1"/>
    <w:multiLevelType w:val="multilevel"/>
    <w:tmpl w:val="64D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106D28"/>
    <w:multiLevelType w:val="multilevel"/>
    <w:tmpl w:val="686A3D8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B63DFF"/>
    <w:multiLevelType w:val="multilevel"/>
    <w:tmpl w:val="4AC8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71ABD"/>
    <w:multiLevelType w:val="multilevel"/>
    <w:tmpl w:val="0008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8672CA"/>
    <w:multiLevelType w:val="multilevel"/>
    <w:tmpl w:val="0E60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E53C8F"/>
    <w:multiLevelType w:val="hybridMultilevel"/>
    <w:tmpl w:val="8F8423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8419804">
    <w:abstractNumId w:val="13"/>
  </w:num>
  <w:num w:numId="2" w16cid:durableId="2021470845">
    <w:abstractNumId w:val="9"/>
  </w:num>
  <w:num w:numId="3" w16cid:durableId="1459302007">
    <w:abstractNumId w:val="19"/>
  </w:num>
  <w:num w:numId="4" w16cid:durableId="1133670130">
    <w:abstractNumId w:val="3"/>
  </w:num>
  <w:num w:numId="5" w16cid:durableId="209195988">
    <w:abstractNumId w:val="11"/>
  </w:num>
  <w:num w:numId="6" w16cid:durableId="1937059250">
    <w:abstractNumId w:val="12"/>
  </w:num>
  <w:num w:numId="7" w16cid:durableId="680205122">
    <w:abstractNumId w:val="15"/>
  </w:num>
  <w:num w:numId="8" w16cid:durableId="912279341">
    <w:abstractNumId w:val="4"/>
  </w:num>
  <w:num w:numId="9" w16cid:durableId="1913350350">
    <w:abstractNumId w:val="5"/>
  </w:num>
  <w:num w:numId="10" w16cid:durableId="90778095">
    <w:abstractNumId w:val="18"/>
  </w:num>
  <w:num w:numId="11" w16cid:durableId="793014213">
    <w:abstractNumId w:val="6"/>
  </w:num>
  <w:num w:numId="12" w16cid:durableId="1009798354">
    <w:abstractNumId w:val="7"/>
  </w:num>
  <w:num w:numId="13" w16cid:durableId="1163861623">
    <w:abstractNumId w:val="17"/>
  </w:num>
  <w:num w:numId="14" w16cid:durableId="1112289639">
    <w:abstractNumId w:val="24"/>
  </w:num>
  <w:num w:numId="15" w16cid:durableId="272171869">
    <w:abstractNumId w:val="20"/>
  </w:num>
  <w:num w:numId="16" w16cid:durableId="1362627856">
    <w:abstractNumId w:val="0"/>
  </w:num>
  <w:num w:numId="17" w16cid:durableId="537086577">
    <w:abstractNumId w:val="21"/>
  </w:num>
  <w:num w:numId="18" w16cid:durableId="1207376186">
    <w:abstractNumId w:val="8"/>
  </w:num>
  <w:num w:numId="19" w16cid:durableId="692388771">
    <w:abstractNumId w:val="14"/>
  </w:num>
  <w:num w:numId="20" w16cid:durableId="561253801">
    <w:abstractNumId w:val="1"/>
  </w:num>
  <w:num w:numId="21" w16cid:durableId="1001812192">
    <w:abstractNumId w:val="16"/>
  </w:num>
  <w:num w:numId="22" w16cid:durableId="1519659552">
    <w:abstractNumId w:val="2"/>
  </w:num>
  <w:num w:numId="23" w16cid:durableId="2132820935">
    <w:abstractNumId w:val="22"/>
  </w:num>
  <w:num w:numId="24" w16cid:durableId="1217818034">
    <w:abstractNumId w:val="23"/>
  </w:num>
  <w:num w:numId="25" w16cid:durableId="17760925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00"/>
    <w:rsid w:val="00040C35"/>
    <w:rsid w:val="000A2D00"/>
    <w:rsid w:val="000B685B"/>
    <w:rsid w:val="000C166C"/>
    <w:rsid w:val="000C19C8"/>
    <w:rsid w:val="00177BAB"/>
    <w:rsid w:val="00180A7E"/>
    <w:rsid w:val="00182C80"/>
    <w:rsid w:val="001A4EF2"/>
    <w:rsid w:val="001C5225"/>
    <w:rsid w:val="001F61F6"/>
    <w:rsid w:val="00242970"/>
    <w:rsid w:val="002436D2"/>
    <w:rsid w:val="002859B7"/>
    <w:rsid w:val="003F7D8B"/>
    <w:rsid w:val="00502E5F"/>
    <w:rsid w:val="005A6E74"/>
    <w:rsid w:val="00695A00"/>
    <w:rsid w:val="00710E15"/>
    <w:rsid w:val="00740B6D"/>
    <w:rsid w:val="007D71B6"/>
    <w:rsid w:val="0083476A"/>
    <w:rsid w:val="0085465E"/>
    <w:rsid w:val="00874979"/>
    <w:rsid w:val="0091558F"/>
    <w:rsid w:val="00995AD3"/>
    <w:rsid w:val="00AE643B"/>
    <w:rsid w:val="00AF3495"/>
    <w:rsid w:val="00B35E7C"/>
    <w:rsid w:val="00D74C15"/>
    <w:rsid w:val="00DC288C"/>
    <w:rsid w:val="00E1336F"/>
    <w:rsid w:val="00E74715"/>
    <w:rsid w:val="00F47147"/>
    <w:rsid w:val="00F8473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E8B426"/>
  <w15:chartTrackingRefBased/>
  <w15:docId w15:val="{438BD6FA-79E6-4316-843E-13BE4C2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A00"/>
    <w:rPr>
      <w:color w:val="0563C1" w:themeColor="hyperlink"/>
      <w:u w:val="single"/>
    </w:rPr>
  </w:style>
  <w:style w:type="character" w:styleId="UnresolvedMention">
    <w:name w:val="Unresolved Mention"/>
    <w:basedOn w:val="DefaultParagraphFont"/>
    <w:uiPriority w:val="99"/>
    <w:semiHidden/>
    <w:unhideWhenUsed/>
    <w:rsid w:val="00695A00"/>
    <w:rPr>
      <w:color w:val="605E5C"/>
      <w:shd w:val="clear" w:color="auto" w:fill="E1DFDD"/>
    </w:rPr>
  </w:style>
  <w:style w:type="paragraph" w:styleId="ListParagraph">
    <w:name w:val="List Paragraph"/>
    <w:basedOn w:val="Normal"/>
    <w:uiPriority w:val="34"/>
    <w:qFormat/>
    <w:rsid w:val="003F7D8B"/>
    <w:pPr>
      <w:ind w:left="720"/>
      <w:contextualSpacing/>
    </w:pPr>
  </w:style>
  <w:style w:type="numbering" w:customStyle="1" w:styleId="CurrentList1">
    <w:name w:val="Current List1"/>
    <w:uiPriority w:val="99"/>
    <w:rsid w:val="00040C35"/>
    <w:pPr>
      <w:numPr>
        <w:numId w:val="15"/>
      </w:numPr>
    </w:pPr>
  </w:style>
  <w:style w:type="character" w:styleId="FollowedHyperlink">
    <w:name w:val="FollowedHyperlink"/>
    <w:basedOn w:val="DefaultParagraphFont"/>
    <w:uiPriority w:val="99"/>
    <w:semiHidden/>
    <w:unhideWhenUsed/>
    <w:rsid w:val="000C166C"/>
    <w:rPr>
      <w:color w:val="954F72" w:themeColor="followedHyperlink"/>
      <w:u w:val="single"/>
    </w:rPr>
  </w:style>
  <w:style w:type="paragraph" w:styleId="Header">
    <w:name w:val="header"/>
    <w:basedOn w:val="Normal"/>
    <w:link w:val="HeaderChar"/>
    <w:uiPriority w:val="99"/>
    <w:unhideWhenUsed/>
    <w:rsid w:val="00874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979"/>
  </w:style>
  <w:style w:type="paragraph" w:styleId="Footer">
    <w:name w:val="footer"/>
    <w:basedOn w:val="Normal"/>
    <w:link w:val="FooterChar"/>
    <w:uiPriority w:val="99"/>
    <w:unhideWhenUsed/>
    <w:rsid w:val="00874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979"/>
  </w:style>
  <w:style w:type="table" w:styleId="TableGrid">
    <w:name w:val="Table Grid"/>
    <w:basedOn w:val="TableNormal"/>
    <w:uiPriority w:val="39"/>
    <w:rsid w:val="00180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0812">
      <w:bodyDiv w:val="1"/>
      <w:marLeft w:val="0"/>
      <w:marRight w:val="0"/>
      <w:marTop w:val="0"/>
      <w:marBottom w:val="0"/>
      <w:divBdr>
        <w:top w:val="none" w:sz="0" w:space="0" w:color="auto"/>
        <w:left w:val="none" w:sz="0" w:space="0" w:color="auto"/>
        <w:bottom w:val="none" w:sz="0" w:space="0" w:color="auto"/>
        <w:right w:val="none" w:sz="0" w:space="0" w:color="auto"/>
      </w:divBdr>
    </w:div>
    <w:div w:id="656811852">
      <w:bodyDiv w:val="1"/>
      <w:marLeft w:val="0"/>
      <w:marRight w:val="0"/>
      <w:marTop w:val="0"/>
      <w:marBottom w:val="0"/>
      <w:divBdr>
        <w:top w:val="none" w:sz="0" w:space="0" w:color="auto"/>
        <w:left w:val="none" w:sz="0" w:space="0" w:color="auto"/>
        <w:bottom w:val="none" w:sz="0" w:space="0" w:color="auto"/>
        <w:right w:val="none" w:sz="0" w:space="0" w:color="auto"/>
      </w:divBdr>
    </w:div>
    <w:div w:id="750389449">
      <w:bodyDiv w:val="1"/>
      <w:marLeft w:val="0"/>
      <w:marRight w:val="0"/>
      <w:marTop w:val="0"/>
      <w:marBottom w:val="0"/>
      <w:divBdr>
        <w:top w:val="none" w:sz="0" w:space="0" w:color="auto"/>
        <w:left w:val="none" w:sz="0" w:space="0" w:color="auto"/>
        <w:bottom w:val="none" w:sz="0" w:space="0" w:color="auto"/>
        <w:right w:val="none" w:sz="0" w:space="0" w:color="auto"/>
      </w:divBdr>
    </w:div>
    <w:div w:id="1090547792">
      <w:bodyDiv w:val="1"/>
      <w:marLeft w:val="0"/>
      <w:marRight w:val="0"/>
      <w:marTop w:val="0"/>
      <w:marBottom w:val="0"/>
      <w:divBdr>
        <w:top w:val="none" w:sz="0" w:space="0" w:color="auto"/>
        <w:left w:val="none" w:sz="0" w:space="0" w:color="auto"/>
        <w:bottom w:val="none" w:sz="0" w:space="0" w:color="auto"/>
        <w:right w:val="none" w:sz="0" w:space="0" w:color="auto"/>
      </w:divBdr>
    </w:div>
    <w:div w:id="1413891591">
      <w:bodyDiv w:val="1"/>
      <w:marLeft w:val="0"/>
      <w:marRight w:val="0"/>
      <w:marTop w:val="0"/>
      <w:marBottom w:val="0"/>
      <w:divBdr>
        <w:top w:val="none" w:sz="0" w:space="0" w:color="auto"/>
        <w:left w:val="none" w:sz="0" w:space="0" w:color="auto"/>
        <w:bottom w:val="none" w:sz="0" w:space="0" w:color="auto"/>
        <w:right w:val="none" w:sz="0" w:space="0" w:color="auto"/>
      </w:divBdr>
    </w:div>
    <w:div w:id="15754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Raymond</dc:creator>
  <cp:keywords/>
  <dc:description/>
  <cp:lastModifiedBy>Simon Raymond</cp:lastModifiedBy>
  <cp:revision>3</cp:revision>
  <dcterms:created xsi:type="dcterms:W3CDTF">2025-03-09T22:52:00Z</dcterms:created>
  <dcterms:modified xsi:type="dcterms:W3CDTF">2025-03-09T23:14:00Z</dcterms:modified>
</cp:coreProperties>
</file>